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47370" cy="694690"/>
            <wp:effectExtent l="0" t="0" r="5080" b="0"/>
            <wp:wrapSquare wrapText="bothSides"/>
            <wp:docPr id="1" name="Obrázok 1" descr="logo_financna_sprav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financna_sprava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Arial"/>
          <w:b/>
        </w:rPr>
      </w:pPr>
    </w:p>
    <w:p w:rsidR="007A061D" w:rsidRDefault="007A061D" w:rsidP="007A061D">
      <w:pPr>
        <w:ind w:firstLine="1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7A061D" w:rsidRDefault="007A061D" w:rsidP="007A061D">
      <w:pPr>
        <w:ind w:firstLine="1"/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50800</wp:posOffset>
                </wp:positionV>
                <wp:extent cx="3200400" cy="228600"/>
                <wp:effectExtent l="0" t="0" r="19050" b="19050"/>
                <wp:wrapNone/>
                <wp:docPr id="6" name="Voľná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custGeom>
                          <a:avLst/>
                          <a:gdLst>
                            <a:gd name="T0" fmla="*/ 0 w 5040"/>
                            <a:gd name="T1" fmla="*/ 360 h 360"/>
                            <a:gd name="T2" fmla="*/ 5040 w 5040"/>
                            <a:gd name="T3" fmla="*/ 360 h 360"/>
                            <a:gd name="T4" fmla="*/ 5040 w 5040"/>
                            <a:gd name="T5" fmla="*/ 0 h 360"/>
                            <a:gd name="T6" fmla="*/ 360 w 5040"/>
                            <a:gd name="T7" fmla="*/ 0 h 360"/>
                            <a:gd name="T8" fmla="*/ 0 w 504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360">
                              <a:moveTo>
                                <a:pt x="0" y="360"/>
                              </a:moveTo>
                              <a:lnTo>
                                <a:pt x="5040" y="360"/>
                              </a:lnTo>
                              <a:lnTo>
                                <a:pt x="5040" y="0"/>
                              </a:lnTo>
                              <a:lnTo>
                                <a:pt x="36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CE68" id="Voľná forma 6" o:spid="_x0000_s1026" style="position:absolute;margin-left:397.6pt;margin-top:4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" path="m,360r5040,l5040,,360,,,360xe" fillcolor="#ddd" strokecolor="#ddd" strokeweight="1pt">
                <v:path arrowok="t" o:connecttype="custom" o:connectlocs="0,228600;3200400,228600;3200400,0;228600,0;0,228600" o:connectangles="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-2370455</wp:posOffset>
                </wp:positionH>
                <wp:positionV relativeFrom="paragraph">
                  <wp:posOffset>50800</wp:posOffset>
                </wp:positionV>
                <wp:extent cx="3314700" cy="228600"/>
                <wp:effectExtent l="0" t="0" r="19050" b="19050"/>
                <wp:wrapNone/>
                <wp:docPr id="5" name="Voľná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4860 w 4860"/>
                            <a:gd name="T1" fmla="*/ 360 h 360"/>
                            <a:gd name="T2" fmla="*/ 0 w 4860"/>
                            <a:gd name="T3" fmla="*/ 360 h 360"/>
                            <a:gd name="T4" fmla="*/ 0 w 4860"/>
                            <a:gd name="T5" fmla="*/ 0 h 360"/>
                            <a:gd name="T6" fmla="*/ 4500 w 4860"/>
                            <a:gd name="T7" fmla="*/ 0 h 360"/>
                            <a:gd name="T8" fmla="*/ 4860 w 48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360">
                              <a:moveTo>
                                <a:pt x="486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4500" y="0"/>
                              </a:lnTo>
                              <a:lnTo>
                                <a:pt x="486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03B2" id="Voľná forma 5" o:spid="_x0000_s1026" style="position:absolute;margin-left:-186.65pt;margin-top:4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" path="m4860,360l,360,,,4500,r360,360xe" fillcolor="silver" strokecolor="silver" strokeweight="1pt">
                <v:path arrowok="t" o:connecttype="custom" o:connectlocs="3314700,228600;0,228600;0,0;3069167,0;3314700,228600" o:connectangles="0,0,0,0,0"/>
              </v:shape>
            </w:pict>
          </mc:Fallback>
        </mc:AlternateContent>
      </w:r>
      <w:r>
        <w:rPr>
          <w:rFonts w:ascii="Arial Narrow" w:eastAsia="Calibri" w:hAnsi="Arial Narrow"/>
          <w:b/>
          <w:sz w:val="28"/>
          <w:szCs w:val="28"/>
        </w:rPr>
        <w:t>Finančné riaditeľstvo Slovenskej republiky</w:t>
      </w:r>
    </w:p>
    <w:p w:rsidR="007A061D" w:rsidRDefault="007A061D" w:rsidP="007A061D">
      <w:pPr>
        <w:spacing w:after="200" w:line="276" w:lineRule="auto"/>
        <w:rPr>
          <w:rFonts w:ascii="Arial Narrow" w:eastAsia="Calibri" w:hAnsi="Arial Narrow"/>
          <w:b/>
          <w:sz w:val="26"/>
          <w:szCs w:val="26"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/>
          <w:b/>
          <w:sz w:val="26"/>
          <w:szCs w:val="2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</w:p>
    <w:p w:rsidR="007A061D" w:rsidRDefault="007A061D" w:rsidP="007A061D">
      <w:pPr>
        <w:spacing w:after="200" w:line="276" w:lineRule="auto"/>
        <w:jc w:val="center"/>
        <w:rPr>
          <w:rFonts w:ascii="Arial Narrow" w:eastAsia="Calibri" w:hAnsi="Arial Narrow"/>
          <w:b/>
          <w:sz w:val="36"/>
        </w:rPr>
      </w:pPr>
      <w:r>
        <w:rPr>
          <w:rFonts w:ascii="Arial Narrow" w:eastAsia="Calibri" w:hAnsi="Arial Narrow"/>
          <w:b/>
          <w:sz w:val="36"/>
        </w:rPr>
        <w:t>Testovací protokol</w:t>
      </w:r>
      <w:r>
        <w:rPr>
          <w:rFonts w:ascii="Arial Narrow" w:eastAsia="Calibri" w:hAnsi="Arial Narrow"/>
          <w:b/>
          <w:sz w:val="36"/>
        </w:rPr>
        <w:br/>
      </w:r>
    </w:p>
    <w:p w:rsidR="007A061D" w:rsidRDefault="007A061D" w:rsidP="007A061D">
      <w:pPr>
        <w:spacing w:after="120" w:line="276" w:lineRule="auto"/>
        <w:rPr>
          <w:rFonts w:ascii="Arial Narrow" w:eastAsia="Calibri" w:hAnsi="Arial Narrow"/>
          <w:sz w:val="12"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7A061D">
      <w:pPr>
        <w:spacing w:after="200" w:line="276" w:lineRule="auto"/>
        <w:rPr>
          <w:rFonts w:ascii="Arial Narrow" w:eastAsia="Calibri" w:hAnsi="Arial Narrow" w:cs="Consolas"/>
          <w:b/>
        </w:rPr>
      </w:pPr>
    </w:p>
    <w:p w:rsidR="007A061D" w:rsidRDefault="007A061D" w:rsidP="00A57C0F">
      <w:pPr>
        <w:pStyle w:val="Nadpis1"/>
        <w:numPr>
          <w:ilvl w:val="0"/>
          <w:numId w:val="0"/>
        </w:numPr>
      </w:pPr>
      <w:bookmarkStart w:id="0" w:name="_Toc91842941"/>
      <w:r>
        <w:lastRenderedPageBreak/>
        <w:t>Obsah</w:t>
      </w:r>
      <w:bookmarkEnd w:id="0"/>
    </w:p>
    <w:p w:rsidR="00E71FE5" w:rsidRPr="00E71FE5" w:rsidRDefault="007A061D">
      <w:pPr>
        <w:pStyle w:val="Obsah1"/>
        <w:rPr>
          <w:rFonts w:ascii="Arial Narrow" w:eastAsiaTheme="minorEastAsia" w:hAnsi="Arial Narrow" w:cstheme="minorBidi"/>
          <w:lang w:eastAsia="sk-SK"/>
        </w:rPr>
      </w:pP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fldChar w:fldCharType="begin"/>
      </w: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instrText xml:space="preserve"> TOC \o "1-3" \h \z \u </w:instrText>
      </w:r>
      <w:r>
        <w:rPr>
          <w:rFonts w:ascii="Arial Narrow" w:eastAsia="Times New Roman" w:hAnsi="Arial Narrow"/>
          <w:b/>
          <w:color w:val="000000" w:themeColor="text1"/>
          <w:sz w:val="28"/>
          <w:szCs w:val="20"/>
        </w:rPr>
        <w:fldChar w:fldCharType="separate"/>
      </w:r>
      <w:hyperlink w:anchor="_Toc91842941" w:history="1">
        <w:r w:rsidR="00E71FE5" w:rsidRPr="00E71FE5">
          <w:rPr>
            <w:rStyle w:val="Hypertextovprepojenie"/>
            <w:rFonts w:ascii="Arial Narrow" w:hAnsi="Arial Narrow"/>
          </w:rPr>
          <w:t>Obsah</w:t>
        </w:r>
        <w:r w:rsidR="00E71FE5" w:rsidRPr="00E71FE5">
          <w:rPr>
            <w:rFonts w:ascii="Arial Narrow" w:hAnsi="Arial Narrow"/>
            <w:webHidden/>
          </w:rPr>
          <w:tab/>
        </w:r>
        <w:r w:rsidR="00E71FE5" w:rsidRPr="00E71FE5">
          <w:rPr>
            <w:rFonts w:ascii="Arial Narrow" w:hAnsi="Arial Narrow"/>
            <w:webHidden/>
          </w:rPr>
          <w:fldChar w:fldCharType="begin"/>
        </w:r>
        <w:r w:rsidR="00E71FE5" w:rsidRPr="00E71FE5">
          <w:rPr>
            <w:rFonts w:ascii="Arial Narrow" w:hAnsi="Arial Narrow"/>
            <w:webHidden/>
          </w:rPr>
          <w:instrText xml:space="preserve"> PAGEREF _Toc91842941 \h </w:instrText>
        </w:r>
        <w:r w:rsidR="00E71FE5" w:rsidRPr="00E71FE5">
          <w:rPr>
            <w:rFonts w:ascii="Arial Narrow" w:hAnsi="Arial Narrow"/>
            <w:webHidden/>
          </w:rPr>
        </w:r>
        <w:r w:rsidR="00E71FE5" w:rsidRPr="00E71FE5">
          <w:rPr>
            <w:rFonts w:ascii="Arial Narrow" w:hAnsi="Arial Narrow"/>
            <w:webHidden/>
          </w:rPr>
          <w:fldChar w:fldCharType="separate"/>
        </w:r>
        <w:r w:rsidR="00E71FE5" w:rsidRPr="00E71FE5">
          <w:rPr>
            <w:rFonts w:ascii="Arial Narrow" w:hAnsi="Arial Narrow"/>
            <w:webHidden/>
          </w:rPr>
          <w:t>2</w:t>
        </w:r>
        <w:r w:rsidR="00E71FE5" w:rsidRPr="00E71FE5">
          <w:rPr>
            <w:rFonts w:ascii="Arial Narrow" w:hAnsi="Arial Narrow"/>
            <w:webHidden/>
          </w:rPr>
          <w:fldChar w:fldCharType="end"/>
        </w:r>
      </w:hyperlink>
    </w:p>
    <w:p w:rsidR="00E71FE5" w:rsidRPr="00E71FE5" w:rsidRDefault="00E71FE5">
      <w:pPr>
        <w:pStyle w:val="Obsah1"/>
        <w:rPr>
          <w:rFonts w:ascii="Arial Narrow" w:eastAsiaTheme="minorEastAsia" w:hAnsi="Arial Narrow" w:cstheme="minorBidi"/>
          <w:lang w:eastAsia="sk-SK"/>
        </w:rPr>
      </w:pPr>
      <w:hyperlink w:anchor="_Toc91842942" w:history="1">
        <w:r w:rsidRPr="00E71FE5">
          <w:rPr>
            <w:rStyle w:val="Hypertextovprepojenie"/>
            <w:rFonts w:ascii="Arial Narrow" w:hAnsi="Arial Narrow"/>
            <w:bCs/>
          </w:rPr>
          <w:t>História zmien a ich popis</w:t>
        </w:r>
        <w:r w:rsidRPr="00E71FE5">
          <w:rPr>
            <w:rFonts w:ascii="Arial Narrow" w:hAnsi="Arial Narrow"/>
            <w:webHidden/>
          </w:rPr>
          <w:tab/>
        </w:r>
        <w:r w:rsidRPr="00E71FE5">
          <w:rPr>
            <w:rFonts w:ascii="Arial Narrow" w:hAnsi="Arial Narrow"/>
            <w:webHidden/>
          </w:rPr>
          <w:fldChar w:fldCharType="begin"/>
        </w:r>
        <w:r w:rsidRPr="00E71FE5">
          <w:rPr>
            <w:rFonts w:ascii="Arial Narrow" w:hAnsi="Arial Narrow"/>
            <w:webHidden/>
          </w:rPr>
          <w:instrText xml:space="preserve"> PAGEREF _Toc91842942 \h </w:instrText>
        </w:r>
        <w:r w:rsidRPr="00E71FE5">
          <w:rPr>
            <w:rFonts w:ascii="Arial Narrow" w:hAnsi="Arial Narrow"/>
            <w:webHidden/>
          </w:rPr>
        </w:r>
        <w:r w:rsidRPr="00E71FE5">
          <w:rPr>
            <w:rFonts w:ascii="Arial Narrow" w:hAnsi="Arial Narrow"/>
            <w:webHidden/>
          </w:rPr>
          <w:fldChar w:fldCharType="separate"/>
        </w:r>
        <w:r w:rsidRPr="00E71FE5">
          <w:rPr>
            <w:rFonts w:ascii="Arial Narrow" w:hAnsi="Arial Narrow"/>
            <w:webHidden/>
          </w:rPr>
          <w:t>3</w:t>
        </w:r>
        <w:r w:rsidRPr="00E71FE5">
          <w:rPr>
            <w:rFonts w:ascii="Arial Narrow" w:hAnsi="Arial Narrow"/>
            <w:webHidden/>
          </w:rPr>
          <w:fldChar w:fldCharType="end"/>
        </w:r>
      </w:hyperlink>
    </w:p>
    <w:p w:rsidR="00E71FE5" w:rsidRPr="00E71FE5" w:rsidRDefault="00E71FE5">
      <w:pPr>
        <w:pStyle w:val="Obsah1"/>
        <w:rPr>
          <w:rFonts w:ascii="Arial Narrow" w:eastAsiaTheme="minorEastAsia" w:hAnsi="Arial Narrow" w:cstheme="minorBidi"/>
          <w:lang w:eastAsia="sk-SK"/>
        </w:rPr>
      </w:pPr>
      <w:hyperlink w:anchor="_Toc91842943" w:history="1">
        <w:r w:rsidRPr="00E71FE5">
          <w:rPr>
            <w:rStyle w:val="Hypertextovprepojenie"/>
            <w:rFonts w:ascii="Arial Narrow" w:hAnsi="Arial Narrow"/>
          </w:rPr>
          <w:t>1.</w:t>
        </w:r>
        <w:r w:rsidRPr="00E71FE5">
          <w:rPr>
            <w:rFonts w:ascii="Arial Narrow" w:eastAsiaTheme="minorEastAsia" w:hAnsi="Arial Narrow" w:cstheme="minorBidi"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</w:rPr>
          <w:t>Testovací protokol</w:t>
        </w:r>
        <w:r w:rsidRPr="00E71FE5">
          <w:rPr>
            <w:rFonts w:ascii="Arial Narrow" w:hAnsi="Arial Narrow"/>
            <w:webHidden/>
          </w:rPr>
          <w:tab/>
        </w:r>
        <w:r w:rsidRPr="00E71FE5">
          <w:rPr>
            <w:rFonts w:ascii="Arial Narrow" w:hAnsi="Arial Narrow"/>
            <w:webHidden/>
          </w:rPr>
          <w:fldChar w:fldCharType="begin"/>
        </w:r>
        <w:r w:rsidRPr="00E71FE5">
          <w:rPr>
            <w:rFonts w:ascii="Arial Narrow" w:hAnsi="Arial Narrow"/>
            <w:webHidden/>
          </w:rPr>
          <w:instrText xml:space="preserve"> PAGEREF _Toc91842943 \h </w:instrText>
        </w:r>
        <w:r w:rsidRPr="00E71FE5">
          <w:rPr>
            <w:rFonts w:ascii="Arial Narrow" w:hAnsi="Arial Narrow"/>
            <w:webHidden/>
          </w:rPr>
        </w:r>
        <w:r w:rsidRPr="00E71FE5">
          <w:rPr>
            <w:rFonts w:ascii="Arial Narrow" w:hAnsi="Arial Narrow"/>
            <w:webHidden/>
          </w:rPr>
          <w:fldChar w:fldCharType="separate"/>
        </w:r>
        <w:r w:rsidRPr="00E71FE5">
          <w:rPr>
            <w:rFonts w:ascii="Arial Narrow" w:hAnsi="Arial Narrow"/>
            <w:webHidden/>
          </w:rPr>
          <w:t>4</w:t>
        </w:r>
        <w:r w:rsidRPr="00E71FE5">
          <w:rPr>
            <w:rFonts w:ascii="Arial Narrow" w:hAnsi="Arial Narrow"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4" w:history="1">
        <w:r w:rsidRPr="00E71FE5">
          <w:rPr>
            <w:rStyle w:val="Hypertextovprepojenie"/>
            <w:rFonts w:ascii="Arial Narrow" w:hAnsi="Arial Narrow"/>
            <w:noProof/>
          </w:rPr>
          <w:t>1.1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Nahratie údajov pre inicializáciu ORP (CHDÚ)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_Toc91842944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4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5" w:history="1">
        <w:r w:rsidRPr="00E71FE5">
          <w:rPr>
            <w:rStyle w:val="Hypertextovprepojenie"/>
            <w:rFonts w:ascii="Arial Narrow" w:hAnsi="Arial Narrow"/>
            <w:noProof/>
          </w:rPr>
          <w:t>1.2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Nahratie aktualizovaných identifikačných údajov a nových autentifikačných údajov do ORP (CHDÚ)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_Toc91842945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4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6" w:history="1">
        <w:r w:rsidRPr="00E71FE5">
          <w:rPr>
            <w:rStyle w:val="Hypertextovprepojenie"/>
            <w:rFonts w:ascii="Arial Narrow" w:hAnsi="Arial Narrow"/>
            <w:noProof/>
          </w:rPr>
          <w:t>1.3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Zobrazenie informácie o uplynutí doby platnosti/ blokovanie ORP po uplynutí doby platnosti autentifikačných údajov ORP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_Toc91842946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5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7" w:history="1">
        <w:r w:rsidRPr="00E71FE5">
          <w:rPr>
            <w:rStyle w:val="Hypertextovprepojenie"/>
            <w:rFonts w:ascii="Arial Narrow" w:hAnsi="Arial Narrow"/>
            <w:noProof/>
          </w:rPr>
          <w:t>1.4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Zaevidovanie dokladu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_Toc91842947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5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8" w:history="1">
        <w:r w:rsidRPr="00E71FE5">
          <w:rPr>
            <w:rStyle w:val="Hypertextovprepojenie"/>
            <w:rFonts w:ascii="Arial Narrow" w:hAnsi="Arial Narrow"/>
            <w:noProof/>
          </w:rPr>
          <w:t>1.5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Predloženie údajov z neodoslanej dátovej správy uloženej v ORP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_Toc91842948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7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Pr="00E71FE5" w:rsidRDefault="00E71FE5">
      <w:pPr>
        <w:pStyle w:val="Obsah2"/>
        <w:tabs>
          <w:tab w:val="left" w:pos="880"/>
          <w:tab w:val="right" w:leader="dot" w:pos="9062"/>
        </w:tabs>
        <w:rPr>
          <w:rFonts w:ascii="Arial Narrow" w:eastAsiaTheme="minorEastAsia" w:hAnsi="Arial Narrow"/>
          <w:noProof/>
          <w:lang w:eastAsia="sk-SK"/>
        </w:rPr>
      </w:pPr>
      <w:hyperlink w:anchor="_Toc91842949" w:history="1">
        <w:r w:rsidRPr="00E71FE5">
          <w:rPr>
            <w:rStyle w:val="Hypertextovprepojenie"/>
            <w:rFonts w:ascii="Arial Narrow" w:hAnsi="Arial Narrow"/>
            <w:noProof/>
          </w:rPr>
          <w:t>1.6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Zaevidovanie polohy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_Toc91842949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7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E71FE5" w:rsidRDefault="00E71FE5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91842950" w:history="1">
        <w:r w:rsidRPr="00E71FE5">
          <w:rPr>
            <w:rStyle w:val="Hypertextovprepojenie"/>
            <w:rFonts w:ascii="Arial Narrow" w:hAnsi="Arial Narrow"/>
            <w:noProof/>
          </w:rPr>
          <w:t>1.7</w:t>
        </w:r>
        <w:r w:rsidRPr="00E71FE5">
          <w:rPr>
            <w:rFonts w:ascii="Arial Narrow" w:eastAsiaTheme="minorEastAsia" w:hAnsi="Arial Narrow"/>
            <w:noProof/>
            <w:lang w:eastAsia="sk-SK"/>
          </w:rPr>
          <w:tab/>
        </w:r>
        <w:r w:rsidRPr="00E71FE5">
          <w:rPr>
            <w:rStyle w:val="Hypertextovprepojenie"/>
            <w:rFonts w:ascii="Arial Narrow" w:hAnsi="Arial Narrow"/>
            <w:noProof/>
          </w:rPr>
          <w:t>Chybové stavy</w:t>
        </w:r>
        <w:r w:rsidRPr="00E71FE5">
          <w:rPr>
            <w:rFonts w:ascii="Arial Narrow" w:hAnsi="Arial Narrow"/>
            <w:noProof/>
            <w:webHidden/>
          </w:rPr>
          <w:tab/>
        </w:r>
        <w:r w:rsidRPr="00E71FE5">
          <w:rPr>
            <w:rFonts w:ascii="Arial Narrow" w:hAnsi="Arial Narrow"/>
            <w:noProof/>
            <w:webHidden/>
          </w:rPr>
          <w:fldChar w:fldCharType="begin"/>
        </w:r>
        <w:r w:rsidRPr="00E71FE5">
          <w:rPr>
            <w:rFonts w:ascii="Arial Narrow" w:hAnsi="Arial Narrow"/>
            <w:noProof/>
            <w:webHidden/>
          </w:rPr>
          <w:instrText xml:space="preserve"> PAGEREF _Toc91842950 \h </w:instrText>
        </w:r>
        <w:r w:rsidRPr="00E71FE5">
          <w:rPr>
            <w:rFonts w:ascii="Arial Narrow" w:hAnsi="Arial Narrow"/>
            <w:noProof/>
            <w:webHidden/>
          </w:rPr>
        </w:r>
        <w:r w:rsidRPr="00E71FE5">
          <w:rPr>
            <w:rFonts w:ascii="Arial Narrow" w:hAnsi="Arial Narrow"/>
            <w:noProof/>
            <w:webHidden/>
          </w:rPr>
          <w:fldChar w:fldCharType="separate"/>
        </w:r>
        <w:r w:rsidRPr="00E71FE5">
          <w:rPr>
            <w:rFonts w:ascii="Arial Narrow" w:hAnsi="Arial Narrow"/>
            <w:noProof/>
            <w:webHidden/>
          </w:rPr>
          <w:t>8</w:t>
        </w:r>
        <w:r w:rsidRPr="00E71FE5">
          <w:rPr>
            <w:rFonts w:ascii="Arial Narrow" w:hAnsi="Arial Narrow"/>
            <w:noProof/>
            <w:webHidden/>
          </w:rPr>
          <w:fldChar w:fldCharType="end"/>
        </w:r>
      </w:hyperlink>
    </w:p>
    <w:p w:rsidR="007A061D" w:rsidRDefault="007A061D" w:rsidP="007A061D">
      <w:pP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fldChar w:fldCharType="end"/>
      </w:r>
      <w:r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br w:type="page"/>
      </w:r>
    </w:p>
    <w:p w:rsidR="007A061D" w:rsidRDefault="007A061D" w:rsidP="007A061D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sectPr w:rsidR="007A061D">
          <w:pgSz w:w="11906" w:h="16838"/>
          <w:pgMar w:top="1417" w:right="1417" w:bottom="1417" w:left="1417" w:header="708" w:footer="708" w:gutter="0"/>
          <w:cols w:space="708"/>
        </w:sectPr>
      </w:pPr>
    </w:p>
    <w:p w:rsidR="007A061D" w:rsidRDefault="007A061D" w:rsidP="007A061D">
      <w:pPr>
        <w:keepNext/>
        <w:keepLines/>
        <w:spacing w:before="480" w:after="240" w:line="276" w:lineRule="auto"/>
        <w:outlineLvl w:val="0"/>
        <w:rPr>
          <w:rFonts w:ascii="Arial Narrow" w:hAnsi="Arial Narrow"/>
          <w:b/>
          <w:bCs/>
          <w:sz w:val="28"/>
          <w:szCs w:val="28"/>
        </w:rPr>
      </w:pPr>
      <w:bookmarkStart w:id="1" w:name="_Toc1726426"/>
      <w:bookmarkStart w:id="2" w:name="_Toc91842942"/>
      <w:bookmarkStart w:id="3" w:name="_GoBack"/>
      <w:bookmarkEnd w:id="3"/>
      <w:r>
        <w:rPr>
          <w:rFonts w:ascii="Arial Narrow" w:hAnsi="Arial Narrow"/>
          <w:b/>
          <w:bCs/>
          <w:sz w:val="28"/>
          <w:szCs w:val="28"/>
        </w:rPr>
        <w:lastRenderedPageBreak/>
        <w:t>História zmien a ich popis</w:t>
      </w:r>
      <w:bookmarkEnd w:id="1"/>
      <w:bookmarkEnd w:id="2"/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1391"/>
        <w:gridCol w:w="6004"/>
      </w:tblGrid>
      <w:tr w:rsidR="007A061D" w:rsidTr="00A57C0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Verzia dokumentu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Dátum zmeny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  <w:b/>
              </w:rPr>
            </w:pPr>
            <w:r>
              <w:rPr>
                <w:rFonts w:ascii="Arial Narrow" w:hAnsi="Arial Narrow" w:cs="Consolas"/>
                <w:b/>
              </w:rPr>
              <w:t>Popis zmeny</w:t>
            </w:r>
          </w:p>
        </w:tc>
      </w:tr>
      <w:tr w:rsidR="007A061D" w:rsidTr="00A57C0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1.0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25.02.2019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Vytvorenie finálnej verzie dokumentu</w:t>
            </w:r>
          </w:p>
        </w:tc>
      </w:tr>
      <w:tr w:rsidR="00E71FE5" w:rsidTr="00A57C0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5" w:rsidRDefault="00E71FE5" w:rsidP="00E71FE5">
            <w:pPr>
              <w:spacing w:after="0" w:line="240" w:lineRule="auto"/>
              <w:rPr>
                <w:rFonts w:ascii="Arial Narrow" w:hAnsi="Arial Narrow" w:cs="Consolas"/>
              </w:rPr>
            </w:pPr>
            <w:r>
              <w:rPr>
                <w:rFonts w:ascii="Arial Narrow" w:hAnsi="Arial Narrow" w:cs="Consolas"/>
              </w:rPr>
              <w:t>1.1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5" w:rsidRPr="00E71FE5" w:rsidRDefault="00E71FE5" w:rsidP="00E71FE5">
            <w:pPr>
              <w:rPr>
                <w:rFonts w:ascii="Arial Narrow" w:hAnsi="Arial Narrow"/>
              </w:rPr>
            </w:pPr>
            <w:r w:rsidRPr="00E71FE5">
              <w:rPr>
                <w:rFonts w:ascii="Arial Narrow" w:hAnsi="Arial Narrow"/>
              </w:rPr>
              <w:t>31.12.2021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5" w:rsidRPr="00E71FE5" w:rsidRDefault="00E71FE5" w:rsidP="00E71FE5">
            <w:pPr>
              <w:spacing w:after="0" w:line="240" w:lineRule="auto"/>
              <w:rPr>
                <w:rFonts w:ascii="Arial Narrow" w:hAnsi="Arial Narrow"/>
              </w:rPr>
            </w:pPr>
            <w:r w:rsidRPr="00E71FE5">
              <w:rPr>
                <w:rFonts w:ascii="Arial Narrow" w:hAnsi="Arial Narrow"/>
              </w:rPr>
              <w:t>Zrušenie testovacieho scenára TS_04_04 v zmysle nálezu Ústavného súdu č. č. k. PL. ÚS 25/2019-117 z 10. novembra 2021</w:t>
            </w:r>
          </w:p>
        </w:tc>
      </w:tr>
    </w:tbl>
    <w:p w:rsidR="007A061D" w:rsidRDefault="007A061D" w:rsidP="007A061D">
      <w:pPr>
        <w:rPr>
          <w:rFonts w:ascii="Arial Narrow" w:hAnsi="Arial Narrow" w:cs="Times New Roman"/>
          <w:lang w:eastAsia="sk-SK"/>
        </w:rPr>
      </w:pPr>
    </w:p>
    <w:p w:rsidR="007A061D" w:rsidRPr="00A57C0F" w:rsidRDefault="00A57C0F" w:rsidP="00A57C0F">
      <w:pPr>
        <w:pStyle w:val="Nadpis1"/>
      </w:pPr>
      <w:r>
        <w:lastRenderedPageBreak/>
        <w:t xml:space="preserve"> </w:t>
      </w:r>
      <w:bookmarkStart w:id="4" w:name="_Toc91842943"/>
      <w:r w:rsidR="007A061D" w:rsidRPr="00A57C0F">
        <w:t>Testovací protokol</w:t>
      </w:r>
      <w:bookmarkEnd w:id="4"/>
    </w:p>
    <w:tbl>
      <w:tblPr>
        <w:tblStyle w:val="Mriekatabuky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Referencia: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7A061D" w:rsidRDefault="001C36DB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e-</w:t>
            </w:r>
            <w:proofErr w:type="spellStart"/>
            <w:r>
              <w:rPr>
                <w:rFonts w:ascii="Arial Narrow" w:hAnsi="Arial Narrow" w:cs="Times New Roman"/>
              </w:rPr>
              <w:t>kasa_testovacie_scenáre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="00D364BD">
              <w:rPr>
                <w:rFonts w:ascii="Arial Narrow" w:hAnsi="Arial Narrow" w:cs="Times New Roman"/>
              </w:rPr>
              <w:t xml:space="preserve">verzia </w:t>
            </w:r>
            <w:r>
              <w:rPr>
                <w:rFonts w:ascii="Arial Narrow" w:hAnsi="Arial Narrow" w:cs="Times New Roman"/>
              </w:rPr>
              <w:t>1.0</w:t>
            </w: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Výrobca PPEKK a 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Názov PPEKK a 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Verzia PPEKK a 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7A061D"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hideMark/>
          </w:tcPr>
          <w:p w:rsidR="007A061D" w:rsidRDefault="007A061D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sk-SK"/>
              </w:rPr>
              <w:t>Jedinečný identifikátor PPEKK a CHDÚ:</w:t>
            </w:r>
          </w:p>
        </w:tc>
        <w:tc>
          <w:tcPr>
            <w:tcW w:w="5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7A061D" w:rsidRDefault="007A061D" w:rsidP="007A061D">
      <w:pPr>
        <w:rPr>
          <w:rFonts w:ascii="Arial Narrow" w:hAnsi="Arial Narrow" w:cs="Times New Roman"/>
        </w:rPr>
      </w:pPr>
    </w:p>
    <w:tbl>
      <w:tblPr>
        <w:tblStyle w:val="Mriekatabuky"/>
        <w:tblW w:w="0" w:type="auto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1"/>
        <w:gridCol w:w="850"/>
        <w:gridCol w:w="2265"/>
        <w:gridCol w:w="2266"/>
      </w:tblGrid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 w:rsidP="009A6AF8">
            <w:pPr>
              <w:spacing w:after="0" w:line="240" w:lineRule="auto"/>
              <w:ind w:left="-255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Názov testovacieho scenára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F81C1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Súlad s očakávaným v</w:t>
            </w:r>
            <w:r w:rsidR="00F81C1B">
              <w:rPr>
                <w:rFonts w:ascii="Arial Narrow" w:hAnsi="Arial Narrow" w:cs="Times New Roman"/>
                <w:b/>
                <w:bCs/>
                <w:color w:val="000000"/>
              </w:rPr>
              <w:t>ýsledkom testovacieho scenára (Á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>no, Nie)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  <w:vAlign w:val="center"/>
            <w:hideMark/>
          </w:tcPr>
          <w:p w:rsidR="007A061D" w:rsidRDefault="007A061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Poznámka</w:t>
            </w: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5" w:name="_Toc91842944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Nahratie údajov pre inicializáciu ORP (CHDÚ)</w:t>
            </w:r>
            <w:bookmarkEnd w:id="5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333333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TS_01_01 Nahratie údajov pre inicializáciu ORP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TS_01_02 Nahratie autentifikačných údajov po nahratí identifikačných údajov pre inicializáciu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TS_01_03 Nahratie identifikačných údajov po nahratí autentifikačných údajov pre inicializáciu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6" w:name="_Toc91842945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Nahratie aktualizovaných identifikačných údajov a nových autentifikačných údajov do ORP (CHDÚ)</w:t>
            </w:r>
            <w:bookmarkEnd w:id="6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TS_02_01 Nahratie aktualizovaných identifikačných údajov a nových autentifikačných údajov do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7" w:name="_Toc1726436"/>
            <w:bookmarkStart w:id="8" w:name="_Toc91842946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Zobrazenie informácie o uplynutí doby platnosti/ blokovanie ORP po uplynutí doby platnosti autentifikačných údajov ORP</w:t>
            </w:r>
            <w:bookmarkEnd w:id="7"/>
            <w:bookmarkEnd w:id="8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bookmarkStart w:id="9" w:name="_Toc526515370"/>
            <w:bookmarkStart w:id="10" w:name="_Toc1726437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TS_03_01 Zobrazenie informácie o uplynutí doby platnosti autentifikačných údajov ORP</w:t>
            </w:r>
            <w:bookmarkEnd w:id="9"/>
            <w:bookmarkEnd w:id="10"/>
          </w:p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bookmarkStart w:id="11" w:name="_Toc1726438"/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TS_03_02 Zablokovanie ORP po uplynutí doby platnosti autentifikačných údajov ORP</w:t>
            </w:r>
            <w:bookmarkEnd w:id="11"/>
          </w:p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sz w:val="22"/>
                <w:szCs w:val="22"/>
                <w:lang w:eastAsia="en-US"/>
              </w:rPr>
            </w:pPr>
            <w:bookmarkStart w:id="12" w:name="_Toc91842947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Zaevidovanie dokladu</w:t>
            </w:r>
            <w:bookmarkEnd w:id="12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TS_04_01 Odoslanie údajov na zaevidovanie pokladničného dokladu podnikateľa, ktorý je platiteľ DPH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TS_04_02 Odoslanie údajov na zaevidovanie pokladničného dokladu podnikateľa, ktorý nie je platiteľ DPH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TS_04_03 Odoslanie údajov na zaevidovanie pokladničného dokladu s položkami typu vrátená alebo opravná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1b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1c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Pr="00A23479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strike/>
                <w:color w:val="000000"/>
                <w:szCs w:val="22"/>
                <w:lang w:eastAsia="en-US"/>
              </w:rPr>
            </w:pPr>
            <w:r w:rsidRPr="00A23479">
              <w:rPr>
                <w:rFonts w:ascii="Arial Narrow" w:hAnsi="Arial Narrow"/>
                <w:strike/>
                <w:color w:val="FF0000"/>
                <w:szCs w:val="22"/>
                <w:lang w:eastAsia="en-US"/>
              </w:rPr>
              <w:lastRenderedPageBreak/>
              <w:t>TS_04_04 Odoslanie údajov na zaevidovanie dokladu s unikátnym identifikátorom kupujúceho predloženým pred zaevidovaním prijatej tržby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A23479" w:rsidTr="000565AB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23479" w:rsidRPr="00A23479" w:rsidRDefault="00A23479" w:rsidP="00A23479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A23479">
              <w:rPr>
                <w:rFonts w:ascii="Arial Narrow" w:hAnsi="Arial Narrow" w:cs="Times New Roman"/>
                <w:b/>
                <w:sz w:val="20"/>
              </w:rPr>
              <w:t xml:space="preserve">V zmysle nálezu Ústavného súdu Slovenskej republiky č. k. PL. ÚS 25/2019-117 z 10. novembra 2021 vo veci vysloveniu nesúladu ustanovenia § 8a ods. 1 zákona č. 289/2008 Z. z. v časti „unikátny identifikátor kupujúceho, ak je predložený kupujúcim pred zaevidovaním prijatej tržby“ s čl. 16 ods. 1, čl. 19 ods. 2 a 3 Ústavy Slovenskej republiky </w:t>
            </w:r>
            <w:r w:rsidRPr="00A23479">
              <w:rPr>
                <w:rFonts w:ascii="Arial Narrow" w:hAnsi="Arial Narrow" w:cs="Times New Roman"/>
                <w:b/>
                <w:sz w:val="20"/>
                <w:u w:val="single"/>
              </w:rPr>
              <w:t>nie je testovací scenár TS_04_04 (unikátny ide</w:t>
            </w:r>
            <w:r>
              <w:rPr>
                <w:rFonts w:ascii="Arial Narrow" w:hAnsi="Arial Narrow" w:cs="Times New Roman"/>
                <w:b/>
                <w:sz w:val="20"/>
                <w:u w:val="single"/>
              </w:rPr>
              <w:t>n</w:t>
            </w:r>
            <w:r w:rsidRPr="00A23479">
              <w:rPr>
                <w:rFonts w:ascii="Arial Narrow" w:hAnsi="Arial Narrow" w:cs="Times New Roman"/>
                <w:b/>
                <w:sz w:val="20"/>
                <w:u w:val="single"/>
              </w:rPr>
              <w:t>tifikátor kupujúceho) predmetom konania o certifikácii podľa § 4c ods. 6 zákona č. 289/2008 Z.z.</w:t>
            </w: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TS_04_05 Odoslanie údajov na zaevidovanie dokladu podnikateľa, ktorý má udelenú výnimku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TS_04_06 Odoslanie údajov na zaevidovanie paragónu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TS_04_07 Odoslanie údajov na zaevidovanie úhrady faktúry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tabs>
                <w:tab w:val="left" w:pos="607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tabs>
                <w:tab w:val="left" w:pos="607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TS_04_08 Odoslanie údajov na zaevidovanie paragónu typu úhrada faktúry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TS_04_09 Odoslanie údajov na zaevidovanie dokladu označenom slovami „neplatný doklad“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TS_04_10 Odoslanie údajov na zaevidovanie dokladu označenom slovom „vklad“ alebo „výber“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TS_04_11 Opätovné odoslanie údajov na zaevidovanie dokladu podnikateľa po prekročení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TS_04_12 Odoslanie pokladničného dokladu elektronicky kupujúcemu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13" w:name="_Toc91842948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Predloženie údajov z neodoslanej dátovej správy uloženej v ORP</w:t>
            </w:r>
            <w:bookmarkEnd w:id="13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TS_05_01 Predloženie údajov uložených v ORP (CHDÚ)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1b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sz w:val="22"/>
                <w:szCs w:val="22"/>
                <w:lang w:eastAsia="en-US"/>
              </w:rPr>
            </w:pPr>
            <w:bookmarkStart w:id="14" w:name="_Toc91842949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Zaevidovanie polohy</w:t>
            </w:r>
            <w:bookmarkEnd w:id="14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TS_06_01 Odoslanie údajov na zaevidovanie polohy pomocou vyplnenia fyzickej adresy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TS_06_02 Odoslanie údajov na zaevidovanie polohy pomocou vyplnenia GPS súradníc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lastRenderedPageBreak/>
              <w:t>TS_06_03 Odoslanie údajov na zaevidovanie polohy pomocou vyplnenia voľno-formátového textu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1a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adpis2"/>
              <w:outlineLvl w:val="1"/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</w:pPr>
            <w:bookmarkStart w:id="15" w:name="_Toc91842950"/>
            <w:r>
              <w:rPr>
                <w:rFonts w:ascii="Arial Narrow" w:hAnsi="Arial Narrow"/>
                <w:i w:val="0"/>
                <w:sz w:val="22"/>
                <w:szCs w:val="22"/>
                <w:lang w:eastAsia="en-US"/>
              </w:rPr>
              <w:t>Chybové stavy</w:t>
            </w:r>
            <w:bookmarkEnd w:id="15"/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TS_07_01 Chybná dátová správa v rámci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A061D" w:rsidTr="009A6AF8">
        <w:trPr>
          <w:trHeight w:val="90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5376CB">
            <w:pPr>
              <w:pStyle w:val="Normlnywebov"/>
              <w:spacing w:before="0" w:beforeAutospacing="0" w:after="0" w:afterAutospacing="0" w:line="300" w:lineRule="atLeast"/>
              <w:jc w:val="left"/>
              <w:rPr>
                <w:rFonts w:ascii="Arial Narrow" w:hAnsi="Arial Narrow"/>
                <w:color w:val="000000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2"/>
                <w:lang w:eastAsia="en-US"/>
              </w:rPr>
              <w:t>TS_07_02</w:t>
            </w:r>
            <w:r w:rsidR="007A061D">
              <w:rPr>
                <w:rFonts w:ascii="Arial Narrow" w:hAnsi="Arial Narrow"/>
                <w:color w:val="000000"/>
                <w:szCs w:val="22"/>
                <w:lang w:eastAsia="en-US"/>
              </w:rPr>
              <w:t xml:space="preserve"> Chybná dátová správa po prekročení hraničnej doby odozvy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061D" w:rsidRDefault="007A061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7A061D" w:rsidRDefault="007A061D" w:rsidP="007A061D">
      <w:pPr>
        <w:rPr>
          <w:rFonts w:ascii="Arial Narrow" w:hAnsi="Arial Narrow" w:cs="Times New Roman"/>
        </w:rPr>
      </w:pPr>
    </w:p>
    <w:p w:rsidR="004D4100" w:rsidRDefault="004D4100" w:rsidP="007A061D">
      <w:pPr>
        <w:rPr>
          <w:rFonts w:ascii="Arial Narrow" w:hAnsi="Arial Narrow" w:cs="Times New Roman"/>
        </w:rPr>
      </w:pPr>
    </w:p>
    <w:p w:rsidR="004D4100" w:rsidRDefault="004D4100" w:rsidP="007A061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.......................................... dňa: ..................................                                  Podpis: ....................</w:t>
      </w:r>
      <w:r w:rsidR="00B90387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......................</w:t>
      </w:r>
    </w:p>
    <w:sectPr w:rsidR="004D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EA2"/>
    <w:multiLevelType w:val="multilevel"/>
    <w:tmpl w:val="A76078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E006B"/>
    <w:multiLevelType w:val="hybridMultilevel"/>
    <w:tmpl w:val="39FA955A"/>
    <w:lvl w:ilvl="0" w:tplc="25C67C9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4F86"/>
    <w:multiLevelType w:val="hybridMultilevel"/>
    <w:tmpl w:val="E8CC69B2"/>
    <w:lvl w:ilvl="0" w:tplc="6BE6E78E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9"/>
    <w:rsid w:val="00016409"/>
    <w:rsid w:val="00040A01"/>
    <w:rsid w:val="000828A4"/>
    <w:rsid w:val="001B3112"/>
    <w:rsid w:val="001C36DB"/>
    <w:rsid w:val="00295E0F"/>
    <w:rsid w:val="004D4100"/>
    <w:rsid w:val="005376CB"/>
    <w:rsid w:val="007A061D"/>
    <w:rsid w:val="00822DD3"/>
    <w:rsid w:val="009A6AF8"/>
    <w:rsid w:val="009F6399"/>
    <w:rsid w:val="00A23479"/>
    <w:rsid w:val="00A57C0F"/>
    <w:rsid w:val="00B202FC"/>
    <w:rsid w:val="00B90387"/>
    <w:rsid w:val="00D364BD"/>
    <w:rsid w:val="00D40FCA"/>
    <w:rsid w:val="00D41C2E"/>
    <w:rsid w:val="00D54F23"/>
    <w:rsid w:val="00E71FE5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A9"/>
  <w15:docId w15:val="{FD7C01DF-F30D-4E36-8114-8BD0360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61D"/>
    <w:pPr>
      <w:spacing w:after="160" w:line="256" w:lineRule="auto"/>
    </w:pPr>
    <w:rPr>
      <w:rFonts w:asciiTheme="minorHAnsi" w:hAnsiTheme="minorHAnsi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A57C0F"/>
    <w:pPr>
      <w:keepNext/>
      <w:pageBreakBefore/>
      <w:widowControl w:val="0"/>
      <w:numPr>
        <w:numId w:val="3"/>
      </w:numPr>
      <w:tabs>
        <w:tab w:val="left" w:pos="567"/>
        <w:tab w:val="left" w:pos="1134"/>
        <w:tab w:val="left" w:pos="7938"/>
      </w:tabs>
      <w:spacing w:before="240" w:after="120" w:line="276" w:lineRule="auto"/>
      <w:ind w:left="567" w:hanging="567"/>
      <w:jc w:val="both"/>
      <w:outlineLvl w:val="0"/>
    </w:pPr>
    <w:rPr>
      <w:rFonts w:ascii="Arial Narrow" w:eastAsia="Times New Roman" w:hAnsi="Arial Narrow" w:cs="Times New Roman"/>
      <w:b/>
      <w:color w:val="000000" w:themeColor="text1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A061D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7A061D"/>
    <w:pPr>
      <w:keepNext/>
      <w:numPr>
        <w:ilvl w:val="2"/>
        <w:numId w:val="1"/>
      </w:numPr>
      <w:tabs>
        <w:tab w:val="left" w:pos="851"/>
      </w:tabs>
      <w:spacing w:before="360" w:after="18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A061D"/>
    <w:pPr>
      <w:keepNext/>
      <w:numPr>
        <w:ilvl w:val="3"/>
        <w:numId w:val="1"/>
      </w:numPr>
      <w:spacing w:before="360" w:after="180" w:line="240" w:lineRule="auto"/>
      <w:jc w:val="both"/>
      <w:outlineLvl w:val="3"/>
    </w:pPr>
    <w:rPr>
      <w:rFonts w:ascii="Cambria" w:eastAsia="MS Mincho" w:hAnsi="Cambria" w:cs="Times New Roman"/>
      <w:b/>
      <w:bCs/>
      <w:sz w:val="26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A061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7A061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MS Mincho" w:hAnsi="Cambria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A061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MS Mincho" w:hAnsi="Cambria" w:cs="Times New Roman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7A061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MS Mincho" w:hAnsi="Cambria" w:cs="Times New Roman"/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A061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MS Gothic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57C0F"/>
    <w:rPr>
      <w:rFonts w:eastAsia="Times New Roman" w:cs="Times New Roman"/>
      <w:b/>
      <w:color w:val="000000" w:themeColor="text1"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9"/>
    <w:rsid w:val="007A061D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7A061D"/>
    <w:rPr>
      <w:rFonts w:ascii="Cambria" w:eastAsia="Times New Roman" w:hAnsi="Cambria" w:cs="Arial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A061D"/>
    <w:rPr>
      <w:rFonts w:ascii="Cambria" w:eastAsia="MS Mincho" w:hAnsi="Cambria" w:cs="Times New Roman"/>
      <w:b/>
      <w:bCs/>
      <w:sz w:val="26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A061D"/>
    <w:rPr>
      <w:rFonts w:ascii="Cambria" w:eastAsia="MS Mincho" w:hAnsi="Cambria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7A061D"/>
    <w:rPr>
      <w:rFonts w:ascii="Cambria" w:eastAsia="MS Mincho" w:hAnsi="Cambria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A061D"/>
    <w:rPr>
      <w:rFonts w:ascii="Cambria" w:eastAsia="MS Mincho" w:hAnsi="Cambria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7A061D"/>
    <w:rPr>
      <w:rFonts w:ascii="Cambria" w:eastAsia="MS Mincho" w:hAnsi="Cambria" w:cs="Times New Roman"/>
      <w:i/>
      <w:iCs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A061D"/>
    <w:rPr>
      <w:rFonts w:ascii="Calibri" w:eastAsia="MS Gothic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A061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A061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A061D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7A061D"/>
    <w:pPr>
      <w:spacing w:after="100"/>
      <w:ind w:left="220"/>
    </w:pPr>
  </w:style>
  <w:style w:type="table" w:styleId="Mriekatabuky">
    <w:name w:val="Table Grid"/>
    <w:basedOn w:val="Normlnatabuka"/>
    <w:uiPriority w:val="39"/>
    <w:rsid w:val="007A061D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7A06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764</Words>
  <Characters>4356</Characters>
  <Application>Microsoft Office Word</Application>
  <DocSecurity>0</DocSecurity>
  <Lines>36</Lines>
  <Paragraphs>10</Paragraphs>
  <ScaleCrop>false</ScaleCrop>
  <Company>Financna sprava Slovenskej republiky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Šprtel Michal Ing.</dc:creator>
  <cp:keywords/>
  <dc:description/>
  <cp:lastModifiedBy>Šprtel Michal Ing. kpt.</cp:lastModifiedBy>
  <cp:revision>15</cp:revision>
  <dcterms:created xsi:type="dcterms:W3CDTF">2019-02-25T10:25:00Z</dcterms:created>
  <dcterms:modified xsi:type="dcterms:W3CDTF">2021-12-31T10:35:00Z</dcterms:modified>
</cp:coreProperties>
</file>